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62E8" w:rsidRPr="00CF6933" w:rsidRDefault="009F6F34" w:rsidP="00AA62E8">
      <w:pPr>
        <w:pStyle w:val="NormalWeb"/>
        <w:shd w:val="clear" w:color="auto" w:fill="FFFFFF"/>
        <w:rPr>
          <w:rFonts w:asciiTheme="minorHAnsi" w:hAnsiTheme="minorHAnsi" w:cstheme="minorHAnsi"/>
          <w:b/>
          <w:color w:val="1B2026"/>
        </w:rPr>
      </w:pPr>
      <w:r w:rsidRPr="00CF6933">
        <w:rPr>
          <w:rFonts w:asciiTheme="minorHAnsi" w:hAnsiTheme="minorHAnsi" w:cstheme="minorHAnsi"/>
          <w:b/>
          <w:color w:val="1B2026"/>
          <w:sz w:val="28"/>
          <w:szCs w:val="28"/>
        </w:rPr>
        <w:t>Banned from the Internet</w:t>
      </w:r>
      <w:r w:rsidRPr="00CF6933">
        <w:rPr>
          <w:rFonts w:asciiTheme="minorHAnsi" w:hAnsiTheme="minorHAnsi" w:cstheme="minorHAnsi"/>
          <w:b/>
          <w:color w:val="1B2026"/>
        </w:rPr>
        <w:br/>
        <w:t>(</w:t>
      </w:r>
      <w:r w:rsidRPr="00CF6933">
        <w:rPr>
          <w:rFonts w:asciiTheme="minorHAnsi" w:hAnsiTheme="minorHAnsi" w:cstheme="minorHAnsi"/>
          <w:color w:val="1B2026"/>
        </w:rPr>
        <w:t xml:space="preserve">This article appeared in </w:t>
      </w:r>
      <w:r w:rsidRPr="00CF6933">
        <w:rPr>
          <w:rFonts w:asciiTheme="minorHAnsi" w:hAnsiTheme="minorHAnsi" w:cstheme="minorHAnsi"/>
          <w:i/>
          <w:color w:val="1B2026"/>
        </w:rPr>
        <w:t>The National Law Journal</w:t>
      </w:r>
      <w:r w:rsidRPr="00CF6933">
        <w:rPr>
          <w:rFonts w:asciiTheme="minorHAnsi" w:hAnsiTheme="minorHAnsi" w:cstheme="minorHAnsi"/>
          <w:i/>
          <w:color w:val="1B2026"/>
        </w:rPr>
        <w:t xml:space="preserve"> </w:t>
      </w:r>
      <w:r w:rsidRPr="00CF6933">
        <w:rPr>
          <w:rFonts w:asciiTheme="minorHAnsi" w:hAnsiTheme="minorHAnsi" w:cstheme="minorHAnsi"/>
          <w:color w:val="1B2026"/>
        </w:rPr>
        <w:t>- October 13, 2010)</w:t>
      </w:r>
      <w:r w:rsidRPr="00CF6933">
        <w:rPr>
          <w:rFonts w:asciiTheme="minorHAnsi" w:hAnsiTheme="minorHAnsi" w:cstheme="minorHAnsi"/>
          <w:color w:val="1B2026"/>
        </w:rPr>
        <w:br/>
      </w:r>
      <w:r w:rsidRPr="00CF6933">
        <w:rPr>
          <w:rFonts w:asciiTheme="minorHAnsi" w:hAnsiTheme="minorHAnsi" w:cstheme="minorHAnsi"/>
          <w:color w:val="1B2026"/>
        </w:rPr>
        <w:br/>
      </w:r>
      <w:r w:rsidRPr="00CF6933">
        <w:rPr>
          <w:rFonts w:asciiTheme="minorHAnsi" w:hAnsiTheme="minorHAnsi" w:cstheme="minorHAnsi"/>
          <w:b/>
          <w:color w:val="1B2026"/>
        </w:rPr>
        <w:t xml:space="preserve">By: </w:t>
      </w:r>
      <w:r w:rsidR="00AA62E8" w:rsidRPr="00CF6933">
        <w:rPr>
          <w:rFonts w:asciiTheme="minorHAnsi" w:hAnsiTheme="minorHAnsi" w:cstheme="minorHAnsi"/>
          <w:b/>
          <w:color w:val="1B2026"/>
        </w:rPr>
        <w:t>A. Jeff Ifrah and Steven Eichorn</w:t>
      </w:r>
    </w:p>
    <w:p w:rsidR="00AA62E8" w:rsidRPr="00CF6933" w:rsidRDefault="009F6F34" w:rsidP="00AA62E8">
      <w:pPr>
        <w:pStyle w:val="NormalWeb"/>
        <w:shd w:val="clear" w:color="auto" w:fill="FFFFFF"/>
        <w:rPr>
          <w:rFonts w:asciiTheme="minorHAnsi" w:hAnsiTheme="minorHAnsi" w:cstheme="minorHAnsi"/>
          <w:color w:val="1B2026"/>
        </w:rPr>
      </w:pPr>
      <w:r w:rsidRPr="00CF6933">
        <w:rPr>
          <w:rFonts w:asciiTheme="minorHAnsi" w:hAnsiTheme="minorHAnsi" w:cstheme="minorHAnsi"/>
          <w:color w:val="1B2026"/>
        </w:rPr>
        <w:t xml:space="preserve"> </w:t>
      </w:r>
      <w:r w:rsidR="00AA62E8" w:rsidRPr="00CF6933">
        <w:rPr>
          <w:rFonts w:asciiTheme="minorHAnsi" w:hAnsiTheme="minorHAnsi" w:cstheme="minorHAnsi"/>
          <w:color w:val="1B2026"/>
        </w:rPr>
        <w:t>“The internet is becoming the town square for the global village of tomorrow.” — Bill Gates, founder of Microsoft.</w:t>
      </w:r>
    </w:p>
    <w:p w:rsidR="00AA62E8" w:rsidRPr="00CF6933" w:rsidRDefault="00AA62E8" w:rsidP="00AA62E8">
      <w:pPr>
        <w:pStyle w:val="NormalWeb"/>
        <w:shd w:val="clear" w:color="auto" w:fill="FFFFFF"/>
        <w:rPr>
          <w:rFonts w:asciiTheme="minorHAnsi" w:hAnsiTheme="minorHAnsi" w:cstheme="minorHAnsi"/>
          <w:color w:val="1B2026"/>
        </w:rPr>
      </w:pPr>
      <w:r w:rsidRPr="00CF6933">
        <w:rPr>
          <w:rFonts w:asciiTheme="minorHAnsi" w:hAnsiTheme="minorHAnsi" w:cstheme="minorHAnsi"/>
          <w:color w:val="1B2026"/>
        </w:rPr>
        <w:t>Given the pervasiveness of the internet, it is curious to us that some courts have been all too willing to prohibit internet use for defendants on probation or supervised release. Are such internet bans narrowly tailored to affect “only such deprivations of liberty or property as are reasonably necessary,” a statutory factor in the conditions of release issued by a judge? Recent cases suggest the answer is no.</w:t>
      </w:r>
    </w:p>
    <w:p w:rsidR="00AA62E8" w:rsidRPr="00CF6933" w:rsidRDefault="00AA62E8" w:rsidP="00AA62E8">
      <w:pPr>
        <w:pStyle w:val="NormalWeb"/>
        <w:shd w:val="clear" w:color="auto" w:fill="FFFFFF"/>
        <w:rPr>
          <w:rFonts w:asciiTheme="minorHAnsi" w:hAnsiTheme="minorHAnsi" w:cstheme="minorHAnsi"/>
          <w:color w:val="1B2026"/>
        </w:rPr>
      </w:pPr>
      <w:r w:rsidRPr="00CF6933">
        <w:rPr>
          <w:rFonts w:asciiTheme="minorHAnsi" w:hAnsiTheme="minorHAnsi" w:cstheme="minorHAnsi"/>
          <w:color w:val="1B2026"/>
        </w:rPr>
        <w:t>Internet bans are most commonly issued by courts as a condition of probation in child pornography cases in which the defendants may have utilized the internet as a tool to lure their victims. But even when the courts have permitted internet bans in such cases, they have often noted the harshness of a complete ban and have listed numerous factors to consider before imposing a ban, such as whether it “is narrowly tailored to impose no greater restriction than necessary,” the “availability of filtering software that could allow [the defendant’s] Internet activity to be monitored and/or restricted” and the duration of the ban. In such cases, appeals courts are diligent in reminding trial courts that such bans must be reasonably related to the statutory factors and that total restrictions “rarely could be justified” even for child pornography defendants.</w:t>
      </w:r>
      <w:r w:rsidRPr="00CF6933">
        <w:rPr>
          <w:rStyle w:val="apple-converted-space"/>
          <w:rFonts w:asciiTheme="minorHAnsi" w:hAnsiTheme="minorHAnsi" w:cstheme="minorHAnsi"/>
          <w:color w:val="1B2026"/>
        </w:rPr>
        <w:t> </w:t>
      </w:r>
      <w:hyperlink r:id="rId7" w:tgtFrame="new" w:history="1">
        <w:r w:rsidRPr="00CF6933">
          <w:rPr>
            <w:rStyle w:val="Hyperlink"/>
            <w:rFonts w:asciiTheme="minorHAnsi" w:hAnsiTheme="minorHAnsi" w:cstheme="minorHAnsi"/>
            <w:i/>
            <w:iCs/>
            <w:color w:val="337AB7"/>
          </w:rPr>
          <w:t>U.S. v. Burroughs</w:t>
        </w:r>
      </w:hyperlink>
      <w:r w:rsidRPr="00CF6933">
        <w:rPr>
          <w:rFonts w:asciiTheme="minorHAnsi" w:hAnsiTheme="minorHAnsi" w:cstheme="minorHAnsi"/>
          <w:color w:val="1B2026"/>
        </w:rPr>
        <w:t>, 613 F.3d 233 (D.C. Cir. 2010).</w:t>
      </w:r>
    </w:p>
    <w:p w:rsidR="00AA62E8" w:rsidRPr="00CF6933" w:rsidRDefault="00AA62E8" w:rsidP="00AA62E8">
      <w:pPr>
        <w:pStyle w:val="NormalWeb"/>
        <w:shd w:val="clear" w:color="auto" w:fill="FFFFFF"/>
        <w:rPr>
          <w:rFonts w:asciiTheme="minorHAnsi" w:hAnsiTheme="minorHAnsi" w:cstheme="minorHAnsi"/>
          <w:color w:val="1B2026"/>
        </w:rPr>
      </w:pPr>
      <w:r w:rsidRPr="00CF6933">
        <w:rPr>
          <w:rFonts w:asciiTheme="minorHAnsi" w:hAnsiTheme="minorHAnsi" w:cstheme="minorHAnsi"/>
          <w:color w:val="1B2026"/>
        </w:rPr>
        <w:t>Given the limitations imposed in child-pornography cases, the growing number of internet bans in white-collar cases raises our eyebrows. Is an internet ban appropriate for a defendant who used the internet to perpetrate a fraud like a telemarketing scheme or investment fraud? Starting with the 9th U.S. Circuit Court of Appeals more than 10 years ago in</w:t>
      </w:r>
      <w:r w:rsidRPr="00CF6933">
        <w:rPr>
          <w:rStyle w:val="apple-converted-space"/>
          <w:rFonts w:asciiTheme="minorHAnsi" w:hAnsiTheme="minorHAnsi" w:cstheme="minorHAnsi"/>
          <w:color w:val="1B2026"/>
        </w:rPr>
        <w:t> </w:t>
      </w:r>
      <w:hyperlink r:id="rId8" w:tgtFrame="new" w:history="1">
        <w:r w:rsidRPr="00CF6933">
          <w:rPr>
            <w:rStyle w:val="Hyperlink"/>
            <w:rFonts w:asciiTheme="minorHAnsi" w:hAnsiTheme="minorHAnsi" w:cstheme="minorHAnsi"/>
            <w:i/>
            <w:iCs/>
            <w:color w:val="337AB7"/>
          </w:rPr>
          <w:t>U.S. v. Mitnick</w:t>
        </w:r>
      </w:hyperlink>
      <w:r w:rsidRPr="00CF6933">
        <w:rPr>
          <w:rFonts w:asciiTheme="minorHAnsi" w:hAnsiTheme="minorHAnsi" w:cstheme="minorHAnsi"/>
          <w:color w:val="1B2026"/>
        </w:rPr>
        <w:t>, 145 F.3d 1342 (9th Cir. 1998), and much more recently with the 3rd Circuit in</w:t>
      </w:r>
      <w:r w:rsidRPr="00CF6933">
        <w:rPr>
          <w:rStyle w:val="apple-converted-space"/>
          <w:rFonts w:asciiTheme="minorHAnsi" w:hAnsiTheme="minorHAnsi" w:cstheme="minorHAnsi"/>
          <w:color w:val="1B2026"/>
        </w:rPr>
        <w:t> </w:t>
      </w:r>
      <w:hyperlink r:id="rId9" w:tgtFrame="new" w:history="1">
        <w:r w:rsidRPr="00CF6933">
          <w:rPr>
            <w:rStyle w:val="Hyperlink"/>
            <w:rFonts w:asciiTheme="minorHAnsi" w:hAnsiTheme="minorHAnsi" w:cstheme="minorHAnsi"/>
            <w:i/>
            <w:iCs/>
            <w:color w:val="337AB7"/>
          </w:rPr>
          <w:t>U.S. v. Keller</w:t>
        </w:r>
      </w:hyperlink>
      <w:r w:rsidRPr="00CF6933">
        <w:rPr>
          <w:rFonts w:asciiTheme="minorHAnsi" w:hAnsiTheme="minorHAnsi" w:cstheme="minorHAnsi"/>
          <w:color w:val="1B2026"/>
        </w:rPr>
        <w:t>, 366 Fed. Appx. 362 (3rd Cir. 2010), courts seem more than willing to say “yes.” Courts seem to have concluded that such bans are reasonably related to legitimate sentencing goals, are no more restrictive than necessary and do not impermissibly restrict any First Amendment rights. See, e.g,.</w:t>
      </w:r>
      <w:r w:rsidRPr="00CF6933">
        <w:rPr>
          <w:rStyle w:val="apple-converted-space"/>
          <w:rFonts w:asciiTheme="minorHAnsi" w:hAnsiTheme="minorHAnsi" w:cstheme="minorHAnsi"/>
          <w:color w:val="1B2026"/>
        </w:rPr>
        <w:t> </w:t>
      </w:r>
      <w:r w:rsidRPr="00CF6933">
        <w:rPr>
          <w:rStyle w:val="Emphasis"/>
          <w:rFonts w:asciiTheme="minorHAnsi" w:hAnsiTheme="minorHAnsi" w:cstheme="minorHAnsi"/>
          <w:color w:val="1B2026"/>
        </w:rPr>
        <w:t>U.S.</w:t>
      </w:r>
      <w:r w:rsidRPr="00CF6933">
        <w:rPr>
          <w:rStyle w:val="apple-converted-space"/>
          <w:rFonts w:asciiTheme="minorHAnsi" w:hAnsiTheme="minorHAnsi" w:cstheme="minorHAnsi"/>
          <w:i/>
          <w:iCs/>
          <w:color w:val="1B2026"/>
        </w:rPr>
        <w:t> </w:t>
      </w:r>
      <w:r w:rsidRPr="00CF6933">
        <w:rPr>
          <w:rStyle w:val="Emphasis"/>
          <w:rFonts w:asciiTheme="minorHAnsi" w:hAnsiTheme="minorHAnsi" w:cstheme="minorHAnsi"/>
          <w:color w:val="1B2026"/>
        </w:rPr>
        <w:t>v. Suggs</w:t>
      </w:r>
      <w:r w:rsidRPr="00CF6933">
        <w:rPr>
          <w:rFonts w:asciiTheme="minorHAnsi" w:hAnsiTheme="minorHAnsi" w:cstheme="minorHAnsi"/>
          <w:color w:val="1B2026"/>
        </w:rPr>
        <w:t>, 50 Fed. Appx. 208 (6th Cir. 2002) (computer hacker).</w:t>
      </w:r>
    </w:p>
    <w:p w:rsidR="00AA62E8" w:rsidRPr="00CF6933" w:rsidRDefault="00AA62E8" w:rsidP="00AA62E8">
      <w:pPr>
        <w:pStyle w:val="NormalWeb"/>
        <w:shd w:val="clear" w:color="auto" w:fill="FFFFFF"/>
        <w:rPr>
          <w:rFonts w:asciiTheme="minorHAnsi" w:hAnsiTheme="minorHAnsi" w:cstheme="minorHAnsi"/>
          <w:color w:val="1B2026"/>
        </w:rPr>
      </w:pPr>
      <w:r w:rsidRPr="00CF6933">
        <w:rPr>
          <w:rFonts w:asciiTheme="minorHAnsi" w:hAnsiTheme="minorHAnsi" w:cstheme="minorHAnsi"/>
          <w:color w:val="1B2026"/>
        </w:rPr>
        <w:t>In the most recent case on the topic,</w:t>
      </w:r>
      <w:r w:rsidRPr="00CF6933">
        <w:rPr>
          <w:rStyle w:val="apple-converted-space"/>
          <w:rFonts w:asciiTheme="minorHAnsi" w:hAnsiTheme="minorHAnsi" w:cstheme="minorHAnsi"/>
          <w:color w:val="1B2026"/>
        </w:rPr>
        <w:t> </w:t>
      </w:r>
      <w:r w:rsidRPr="00CF6933">
        <w:rPr>
          <w:rStyle w:val="Emphasis"/>
          <w:rFonts w:asciiTheme="minorHAnsi" w:hAnsiTheme="minorHAnsi" w:cstheme="minorHAnsi"/>
          <w:color w:val="1B2026"/>
        </w:rPr>
        <w:t>U.S. v. Keller</w:t>
      </w:r>
      <w:r w:rsidRPr="00CF6933">
        <w:rPr>
          <w:rFonts w:asciiTheme="minorHAnsi" w:hAnsiTheme="minorHAnsi" w:cstheme="minorHAnsi"/>
          <w:color w:val="1B2026"/>
        </w:rPr>
        <w:t xml:space="preserve">, the 3rd Circuit upheld the following internet ban for a defendant convicted of traditional mail fraud: “[T]he defendant shall cease and no longer create or conduct any businesses/websites via the internet for the [three-year] period of </w:t>
      </w:r>
      <w:r w:rsidRPr="00CF6933">
        <w:rPr>
          <w:rFonts w:asciiTheme="minorHAnsi" w:hAnsiTheme="minorHAnsi" w:cstheme="minorHAnsi"/>
          <w:color w:val="1B2026"/>
        </w:rPr>
        <w:lastRenderedPageBreak/>
        <w:t>supervision.” While this may not on its face sound onerous, it is crucial to know that Eric Keller did not use the web to perpetrate a fraud on his customers.</w:t>
      </w:r>
    </w:p>
    <w:p w:rsidR="00AA62E8" w:rsidRPr="00CF6933" w:rsidRDefault="00AA62E8" w:rsidP="00AA62E8">
      <w:pPr>
        <w:pStyle w:val="NormalWeb"/>
        <w:shd w:val="clear" w:color="auto" w:fill="FFFFFF"/>
        <w:rPr>
          <w:rFonts w:asciiTheme="minorHAnsi" w:hAnsiTheme="minorHAnsi" w:cstheme="minorHAnsi"/>
          <w:color w:val="1B2026"/>
        </w:rPr>
      </w:pPr>
      <w:r w:rsidRPr="00CF6933">
        <w:rPr>
          <w:rFonts w:asciiTheme="minorHAnsi" w:hAnsiTheme="minorHAnsi" w:cstheme="minorHAnsi"/>
          <w:color w:val="1B2026"/>
        </w:rPr>
        <w:t>Keller had owned and operated a retail candy business through several websites. In order to deliver the candy to the customers, Keller shipped the candy via United Parcel Service. Using fraudulent information, Keller set up 12 different UPS shipping accounts. When one shipping account was suspended for nonpayment, Keller just abandoned that account and opened another account. Keller accomplished this by using various aliases and other trickery. Ultimately, UPS suffered a loss of approximately $155,650.</w:t>
      </w:r>
    </w:p>
    <w:p w:rsidR="00AA62E8" w:rsidRPr="00CF6933" w:rsidRDefault="00AA62E8" w:rsidP="00AA62E8">
      <w:pPr>
        <w:pStyle w:val="NormalWeb"/>
        <w:shd w:val="clear" w:color="auto" w:fill="FFFFFF"/>
        <w:rPr>
          <w:rFonts w:asciiTheme="minorHAnsi" w:hAnsiTheme="minorHAnsi" w:cstheme="minorHAnsi"/>
          <w:color w:val="1B2026"/>
        </w:rPr>
      </w:pPr>
      <w:r w:rsidRPr="00CF6933">
        <w:rPr>
          <w:rFonts w:asciiTheme="minorHAnsi" w:hAnsiTheme="minorHAnsi" w:cstheme="minorHAnsi"/>
          <w:color w:val="1B2026"/>
        </w:rPr>
        <w:t>Despite the fact that the internet was not used to perpetrate a fraud on Keller’s customers, the court saw fit to ban Keller from using the web in the future for doing business. This lack of a nexus between the fraud at issue and the role of the internet was also present in an earlier case decided by the 6th Circuit in 2002. In that case, the defendant, Thomas Suggs, was banned from using a personal computer for anything whatsoever. Just like the defendant in</w:t>
      </w:r>
      <w:r w:rsidRPr="00CF6933">
        <w:rPr>
          <w:rStyle w:val="apple-converted-space"/>
          <w:rFonts w:asciiTheme="minorHAnsi" w:hAnsiTheme="minorHAnsi" w:cstheme="minorHAnsi"/>
          <w:color w:val="1B2026"/>
        </w:rPr>
        <w:t> </w:t>
      </w:r>
      <w:r w:rsidRPr="00CF6933">
        <w:rPr>
          <w:rStyle w:val="Emphasis"/>
          <w:rFonts w:asciiTheme="minorHAnsi" w:hAnsiTheme="minorHAnsi" w:cstheme="minorHAnsi"/>
          <w:color w:val="1B2026"/>
        </w:rPr>
        <w:t>Keller</w:t>
      </w:r>
      <w:r w:rsidRPr="00CF6933">
        <w:rPr>
          <w:rFonts w:asciiTheme="minorHAnsi" w:hAnsiTheme="minorHAnsi" w:cstheme="minorHAnsi"/>
          <w:color w:val="1B2026"/>
        </w:rPr>
        <w:t>, Suggs committed a crime that did not involve perpetrating a fraud on customers over the internet; Suggs’ crime involved an investment scheme involving the financing of computers.</w:t>
      </w:r>
    </w:p>
    <w:p w:rsidR="00AA62E8" w:rsidRPr="00CF6933" w:rsidRDefault="00AA62E8" w:rsidP="00AA62E8">
      <w:pPr>
        <w:pStyle w:val="NormalWeb"/>
        <w:shd w:val="clear" w:color="auto" w:fill="FFFFFF"/>
        <w:rPr>
          <w:rFonts w:asciiTheme="minorHAnsi" w:hAnsiTheme="minorHAnsi" w:cstheme="minorHAnsi"/>
          <w:color w:val="1B2026"/>
        </w:rPr>
      </w:pPr>
      <w:r w:rsidRPr="00CF6933">
        <w:rPr>
          <w:rFonts w:asciiTheme="minorHAnsi" w:hAnsiTheme="minorHAnsi" w:cstheme="minorHAnsi"/>
          <w:color w:val="1B2026"/>
        </w:rPr>
        <w:t>Clearly, courts would not apply a complete ban on conducting business for a defendant who operated many fraudulent brick-and-mortar companies with separate storefronts. Courts readily understand that banning a defendant from conducting any further business is not reasonably related to legitimate sentencing goals and is much more restrictive than necessary. So why are courts willing to place a complete ban on internet business for defendants who use the internet to conduct their business and bar them from “the town square for the global village of tomorrow?” And why are courts handing down more restrictive internet bans in white-collar cases than those handed out in internet child pornography cases?</w:t>
      </w:r>
    </w:p>
    <w:p w:rsidR="00AA62E8" w:rsidRPr="00CF6933" w:rsidRDefault="00AA62E8" w:rsidP="00AA62E8">
      <w:pPr>
        <w:pStyle w:val="NormalWeb"/>
        <w:shd w:val="clear" w:color="auto" w:fill="FFFFFF"/>
        <w:rPr>
          <w:rFonts w:asciiTheme="minorHAnsi" w:hAnsiTheme="minorHAnsi" w:cstheme="minorHAnsi"/>
          <w:color w:val="1B2026"/>
        </w:rPr>
      </w:pPr>
      <w:r w:rsidRPr="00CF6933">
        <w:rPr>
          <w:rFonts w:asciiTheme="minorHAnsi" w:hAnsiTheme="minorHAnsi" w:cstheme="minorHAnsi"/>
          <w:color w:val="1B2026"/>
        </w:rPr>
        <w:t>The answer may be related to some judges’ lack of appreciation of the importance of the internet in today’s society. We hope that, as online commerce becomes universally perceived as being as routine as business conducted in a brick-and-mortar store, courts will be careful to ensure that this critical form of communication with customers is not restricted in the absence of compelling circumstances. Anything less would clearly constitute “deprivations of liberty or property” that are far from “reasonably necessary.”</w:t>
      </w:r>
    </w:p>
    <w:p w:rsidR="003750D1" w:rsidRPr="00CF6933" w:rsidRDefault="00AA62E8" w:rsidP="00CF6933">
      <w:pPr>
        <w:pStyle w:val="NormalWeb"/>
        <w:shd w:val="clear" w:color="auto" w:fill="FFFFFF"/>
        <w:rPr>
          <w:rFonts w:asciiTheme="minorHAnsi" w:hAnsiTheme="minorHAnsi" w:cstheme="minorHAnsi"/>
          <w:color w:val="1B2026"/>
        </w:rPr>
      </w:pPr>
      <w:r w:rsidRPr="00CF6933">
        <w:rPr>
          <w:rStyle w:val="Emphasis"/>
          <w:rFonts w:asciiTheme="minorHAnsi" w:hAnsiTheme="minorHAnsi" w:cstheme="minorHAnsi"/>
          <w:color w:val="1B2026"/>
        </w:rPr>
        <w:t>A. Jeff Ifrah is the founding partner of Ifrah PLLC, a Washington, D.C., law firm that represents corporations and individuals in white-collar cases. He is co-author of “Federal Sentencing for Business Crimes” (LexisNexis 2009). Steven Eichorn is an associate at the firm.</w:t>
      </w:r>
      <w:bookmarkStart w:id="0" w:name="_GoBack"/>
      <w:bookmarkEnd w:id="0"/>
    </w:p>
    <w:sectPr w:rsidR="003750D1" w:rsidRPr="00CF6933">
      <w:headerReference w:type="default" r:id="rId10"/>
      <w:headerReference w:type="first" r:id="rId11"/>
      <w:type w:val="continuous"/>
      <w:pgSz w:w="12240" w:h="15840"/>
      <w:pgMar w:top="32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6F50" w:rsidRDefault="00D26F50">
      <w:r>
        <w:separator/>
      </w:r>
    </w:p>
  </w:endnote>
  <w:endnote w:type="continuationSeparator" w:id="0">
    <w:p w:rsidR="00D26F50" w:rsidRDefault="00D26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6F50" w:rsidRDefault="00D26F50">
      <w:r>
        <w:separator/>
      </w:r>
    </w:p>
  </w:footnote>
  <w:footnote w:type="continuationSeparator" w:id="0">
    <w:p w:rsidR="00D26F50" w:rsidRDefault="00D26F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0D1" w:rsidRDefault="00DC3CC5">
    <w:pPr>
      <w:pStyle w:val="Header"/>
    </w:pPr>
    <w:r>
      <w:rPr>
        <w:noProof/>
      </w:rPr>
      <w:drawing>
        <wp:anchor distT="0" distB="0" distL="114300" distR="114300" simplePos="0" relativeHeight="251658240" behindDoc="1" locked="0" layoutInCell="1" allowOverlap="1">
          <wp:simplePos x="0" y="0"/>
          <wp:positionH relativeFrom="column">
            <wp:posOffset>-229781</wp:posOffset>
          </wp:positionH>
          <wp:positionV relativeFrom="paragraph">
            <wp:posOffset>276447</wp:posOffset>
          </wp:positionV>
          <wp:extent cx="1420628" cy="637953"/>
          <wp:effectExtent l="25400" t="0" r="0" b="0"/>
          <wp:wrapNone/>
          <wp:docPr id="14" name="Picture 14" descr="Ifrah_secondshe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rah_secondsheet.jpg"/>
                  <pic:cNvPicPr/>
                </pic:nvPicPr>
                <pic:blipFill>
                  <a:blip r:embed="rId1"/>
                  <a:stretch>
                    <a:fillRect/>
                  </a:stretch>
                </pic:blipFill>
                <pic:spPr>
                  <a:xfrm>
                    <a:off x="0" y="0"/>
                    <a:ext cx="1422400" cy="6350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0D1" w:rsidRDefault="00DC3CC5">
    <w:pPr>
      <w:pStyle w:val="Header"/>
    </w:pPr>
    <w:r>
      <w:rPr>
        <w:noProof/>
      </w:rPr>
      <w:drawing>
        <wp:inline distT="0" distB="0" distL="0" distR="0">
          <wp:extent cx="5943600" cy="904337"/>
          <wp:effectExtent l="19050" t="0" r="0" b="0"/>
          <wp:docPr id="2" name="Picture 0" descr="IfrahLH_041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rahLH_041012.jpg"/>
                  <pic:cNvPicPr/>
                </pic:nvPicPr>
                <pic:blipFill>
                  <a:blip r:embed="rId1"/>
                  <a:stretch>
                    <a:fillRect/>
                  </a:stretch>
                </pic:blipFill>
                <pic:spPr>
                  <a:xfrm>
                    <a:off x="0" y="0"/>
                    <a:ext cx="5943600" cy="90433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AAC3BE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5DF"/>
    <w:rsid w:val="000C55DF"/>
    <w:rsid w:val="003E6651"/>
    <w:rsid w:val="006B7019"/>
    <w:rsid w:val="008200BC"/>
    <w:rsid w:val="009F6F34"/>
    <w:rsid w:val="00AA62E8"/>
    <w:rsid w:val="00CB4410"/>
    <w:rsid w:val="00CF6933"/>
    <w:rsid w:val="00D15052"/>
    <w:rsid w:val="00D26F50"/>
    <w:rsid w:val="00DC3C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A5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uiPriority w:val="1"/>
    <w:qFormat/>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4"/>
    </w:pPr>
    <w:rPr>
      <w:rFonts w:ascii="Times New Roman" w:eastAsia="Times New Roman" w:hAnsi="Times New Roman"/>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character" w:customStyle="1" w:styleId="DocID">
    <w:name w:val="DocID"/>
    <w:rPr>
      <w:rFonts w:cs="Times New Roman"/>
      <w:sz w:val="16"/>
      <w:szCs w:val="16"/>
    </w:rPr>
  </w:style>
  <w:style w:type="paragraph" w:customStyle="1" w:styleId="BodyText05">
    <w:name w:val="Body Text 0.5"/>
    <w:basedOn w:val="Normal"/>
    <w:pPr>
      <w:widowControl/>
      <w:spacing w:before="240"/>
      <w:ind w:firstLine="720"/>
    </w:pPr>
    <w:rPr>
      <w:rFonts w:ascii="Times New Roman" w:eastAsia="Cambria" w:hAnsi="Times New Roman" w:cs="Times New Roman"/>
      <w:sz w:val="24"/>
      <w:szCs w:val="24"/>
    </w:rPr>
  </w:style>
  <w:style w:type="paragraph" w:styleId="ListBullet">
    <w:name w:val="List Bullet"/>
    <w:basedOn w:val="Normal"/>
    <w:uiPriority w:val="99"/>
    <w:unhideWhenUsed/>
    <w:pPr>
      <w:numPr>
        <w:numId w:val="1"/>
      </w:numPr>
      <w:contextualSpacing/>
    </w:p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AA62E8"/>
    <w:pPr>
      <w:widowControl/>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A62E8"/>
  </w:style>
  <w:style w:type="character" w:styleId="Emphasis">
    <w:name w:val="Emphasis"/>
    <w:basedOn w:val="DefaultParagraphFont"/>
    <w:uiPriority w:val="20"/>
    <w:qFormat/>
    <w:rsid w:val="00AA62E8"/>
    <w:rPr>
      <w:i/>
      <w:iCs/>
    </w:rPr>
  </w:style>
  <w:style w:type="character" w:styleId="Hyperlink">
    <w:name w:val="Hyperlink"/>
    <w:basedOn w:val="DefaultParagraphFont"/>
    <w:uiPriority w:val="99"/>
    <w:semiHidden/>
    <w:unhideWhenUsed/>
    <w:rsid w:val="00AA62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9499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bulk.resource.org/courts.gov/c/F3/145/145.F3d.1342.-95-00603-.-1.97-50365.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acer.cadc.uscourts.gov/docs/common/opinions/201007/08-3085-1255575.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a3.uscourts.gov/opinarch/083549np.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865</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2016-10-06T13:46:00Z</dcterms:created>
  <dcterms:modified xsi:type="dcterms:W3CDTF">2017-06-06T11:46:00Z</dcterms:modified>
</cp:coreProperties>
</file>